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463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3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4230"/>
        <w:gridCol w:w="405"/>
        <w:gridCol w:w="4275"/>
        <w:tblGridChange w:id="0">
          <w:tblGrid>
            <w:gridCol w:w="450"/>
            <w:gridCol w:w="4230"/>
            <w:gridCol w:w="405"/>
            <w:gridCol w:w="427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MATCHING (7-12)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Abomasum</w:t>
        <w:tab/>
        <w:t xml:space="preserve">B. Omasum</w:t>
        <w:tab/>
        <w:t xml:space="preserve">C. Reticulum</w:t>
        <w:tab/>
        <w:t xml:space="preserve">D.Rumen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459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"/>
        <w:gridCol w:w="720"/>
        <w:gridCol w:w="3300"/>
        <w:tblGridChange w:id="0">
          <w:tblGrid>
            <w:gridCol w:w="570"/>
            <w:gridCol w:w="720"/>
            <w:gridCol w:w="330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Many Plies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Functions to absorb water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Honeycomb texture</w:t>
            </w:r>
          </w:p>
        </w:tc>
      </w:tr>
      <w:tr>
        <w:trPr>
          <w:trHeight w:val="4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"True Stomach"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"Fermentation Vat”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Hardware Compartment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13. Which compartment has an anaerobic environment for bacteria? ______________________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14. Where are the most nutrients absorbed into the body? _______________________________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